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7E43A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附件1:</w:t>
      </w:r>
    </w:p>
    <w:p w14:paraId="41FBB8DE">
      <w:pPr>
        <w:spacing w:beforeLines="50" w:afterLines="50"/>
        <w:jc w:val="center"/>
        <w:rPr>
          <w:rFonts w:ascii="方正小标宋简体" w:eastAsia="方正小标宋简体"/>
          <w:bCs/>
          <w:sz w:val="40"/>
          <w:szCs w:val="40"/>
        </w:rPr>
      </w:pPr>
      <w:r>
        <w:rPr>
          <w:rFonts w:hint="eastAsia" w:ascii="方正小标宋简体" w:eastAsia="方正小标宋简体"/>
          <w:bCs/>
          <w:sz w:val="40"/>
          <w:szCs w:val="40"/>
        </w:rPr>
        <w:t>北京交通大学大型仪器设备开放共享绩效考核评价指标</w:t>
      </w:r>
    </w:p>
    <w:tbl>
      <w:tblPr>
        <w:tblStyle w:val="7"/>
        <w:tblW w:w="145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7250"/>
        <w:gridCol w:w="2687"/>
        <w:gridCol w:w="2792"/>
      </w:tblGrid>
      <w:tr w14:paraId="65C29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Align w:val="center"/>
          </w:tcPr>
          <w:p w14:paraId="21BBF3A2">
            <w:pPr>
              <w:jc w:val="center"/>
              <w:rPr>
                <w:rFonts w:ascii="仿宋_GB2312" w:eastAsia="仿宋_GB2312"/>
                <w:b/>
                <w:bCs/>
                <w:sz w:val="28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4"/>
              </w:rPr>
              <w:t>一级指标</w:t>
            </w:r>
          </w:p>
        </w:tc>
        <w:tc>
          <w:tcPr>
            <w:tcW w:w="7250" w:type="dxa"/>
            <w:vAlign w:val="center"/>
          </w:tcPr>
          <w:p w14:paraId="3C86837D">
            <w:pPr>
              <w:jc w:val="center"/>
              <w:rPr>
                <w:rFonts w:ascii="仿宋_GB2312" w:eastAsia="仿宋_GB2312"/>
                <w:b/>
                <w:bCs/>
                <w:sz w:val="28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4"/>
              </w:rPr>
              <w:t>二级指标</w:t>
            </w:r>
          </w:p>
        </w:tc>
        <w:tc>
          <w:tcPr>
            <w:tcW w:w="2687" w:type="dxa"/>
            <w:vAlign w:val="center"/>
          </w:tcPr>
          <w:p w14:paraId="3BFA12DE">
            <w:pPr>
              <w:jc w:val="center"/>
              <w:rPr>
                <w:rFonts w:ascii="仿宋_GB2312" w:eastAsia="仿宋_GB2312"/>
                <w:b/>
                <w:bCs/>
                <w:sz w:val="28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4"/>
              </w:rPr>
              <w:t>评分标准</w:t>
            </w:r>
          </w:p>
        </w:tc>
        <w:tc>
          <w:tcPr>
            <w:tcW w:w="2792" w:type="dxa"/>
            <w:vAlign w:val="center"/>
          </w:tcPr>
          <w:p w14:paraId="3A4E3D59">
            <w:pPr>
              <w:jc w:val="center"/>
              <w:rPr>
                <w:rFonts w:ascii="仿宋_GB2312" w:eastAsia="仿宋_GB2312"/>
                <w:b/>
                <w:bCs/>
                <w:sz w:val="28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4"/>
              </w:rPr>
              <w:t>得分</w:t>
            </w:r>
          </w:p>
        </w:tc>
      </w:tr>
      <w:tr w14:paraId="76F24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restart"/>
            <w:vAlign w:val="center"/>
          </w:tcPr>
          <w:p w14:paraId="13BA7134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运行管理情况</w:t>
            </w:r>
          </w:p>
          <w:p w14:paraId="2A03BA2E">
            <w:pPr>
              <w:jc w:val="center"/>
              <w:rPr>
                <w:rFonts w:ascii="仿宋_GB2312" w:eastAsia="仿宋_GB2312"/>
                <w:sz w:val="32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（20%）</w:t>
            </w:r>
          </w:p>
        </w:tc>
        <w:tc>
          <w:tcPr>
            <w:tcW w:w="7250" w:type="dxa"/>
            <w:vMerge w:val="restart"/>
            <w:vAlign w:val="center"/>
          </w:tcPr>
          <w:p w14:paraId="78EBC848">
            <w:pPr>
              <w:rPr>
                <w:rFonts w:ascii="仿宋_GB2312" w:eastAsia="仿宋_GB2312"/>
                <w:sz w:val="32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开放共享制度情况、实验技术队伍建设情况（40%）</w:t>
            </w:r>
          </w:p>
        </w:tc>
        <w:tc>
          <w:tcPr>
            <w:tcW w:w="2687" w:type="dxa"/>
            <w:vAlign w:val="center"/>
          </w:tcPr>
          <w:p w14:paraId="5D1AE9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较好</w:t>
            </w:r>
          </w:p>
        </w:tc>
        <w:tc>
          <w:tcPr>
            <w:tcW w:w="2792" w:type="dxa"/>
            <w:vAlign w:val="center"/>
          </w:tcPr>
          <w:p w14:paraId="4123F8A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100</w:t>
            </w:r>
          </w:p>
        </w:tc>
      </w:tr>
      <w:tr w14:paraId="09342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3B361AF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0ACF819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46FE5B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一般</w:t>
            </w:r>
          </w:p>
        </w:tc>
        <w:tc>
          <w:tcPr>
            <w:tcW w:w="2792" w:type="dxa"/>
            <w:vAlign w:val="center"/>
          </w:tcPr>
          <w:p w14:paraId="646929D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75</w:t>
            </w:r>
          </w:p>
        </w:tc>
      </w:tr>
      <w:tr w14:paraId="0402A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5446B23B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4C3E784C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78DB322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较差</w:t>
            </w:r>
          </w:p>
        </w:tc>
        <w:tc>
          <w:tcPr>
            <w:tcW w:w="2792" w:type="dxa"/>
            <w:vAlign w:val="center"/>
          </w:tcPr>
          <w:p w14:paraId="5F73AB6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50</w:t>
            </w:r>
          </w:p>
        </w:tc>
      </w:tr>
      <w:tr w14:paraId="612D7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64FED8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restart"/>
            <w:vAlign w:val="center"/>
          </w:tcPr>
          <w:p w14:paraId="4056962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纳入开放共享平台的仪器数量占全部应开放仪器总数量的比例（30%）</w:t>
            </w:r>
          </w:p>
        </w:tc>
        <w:tc>
          <w:tcPr>
            <w:tcW w:w="2687" w:type="dxa"/>
            <w:vAlign w:val="center"/>
          </w:tcPr>
          <w:p w14:paraId="3199E1D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≥50%</w:t>
            </w:r>
          </w:p>
        </w:tc>
        <w:tc>
          <w:tcPr>
            <w:tcW w:w="2792" w:type="dxa"/>
            <w:vAlign w:val="center"/>
          </w:tcPr>
          <w:p w14:paraId="1541D18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得分=共享比例×100</w:t>
            </w:r>
          </w:p>
        </w:tc>
      </w:tr>
      <w:tr w14:paraId="68820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4682BC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6F697C8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3E0C4F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30%-50%（不含）</w:t>
            </w:r>
          </w:p>
        </w:tc>
        <w:tc>
          <w:tcPr>
            <w:tcW w:w="2792" w:type="dxa"/>
            <w:vAlign w:val="center"/>
          </w:tcPr>
          <w:p w14:paraId="404D59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得分=（共享比例*0.8）×100</w:t>
            </w:r>
          </w:p>
        </w:tc>
      </w:tr>
      <w:tr w14:paraId="207D7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5049154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270E4DE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33F5FE5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&lt;30%</w:t>
            </w:r>
          </w:p>
        </w:tc>
        <w:tc>
          <w:tcPr>
            <w:tcW w:w="2792" w:type="dxa"/>
            <w:vAlign w:val="center"/>
          </w:tcPr>
          <w:p w14:paraId="344C328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得分=（提交比例*0.5）×100</w:t>
            </w:r>
          </w:p>
        </w:tc>
      </w:tr>
      <w:tr w14:paraId="7B32C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56A2E37E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restart"/>
            <w:vAlign w:val="center"/>
          </w:tcPr>
          <w:p w14:paraId="7BBD06CE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集约化管理情况（15%）</w:t>
            </w:r>
          </w:p>
        </w:tc>
        <w:tc>
          <w:tcPr>
            <w:tcW w:w="2687" w:type="dxa"/>
            <w:shd w:val="clear" w:color="auto" w:fill="auto"/>
            <w:vAlign w:val="center"/>
          </w:tcPr>
          <w:p w14:paraId="20E5A2D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较好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50BBF08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100</w:t>
            </w:r>
          </w:p>
        </w:tc>
      </w:tr>
      <w:tr w14:paraId="202DF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6D6A440B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2A363998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6AB53DA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一般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3AB4793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75</w:t>
            </w:r>
          </w:p>
        </w:tc>
      </w:tr>
      <w:tr w14:paraId="68F40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6CA5320C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610DE4B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auto"/>
            <w:vAlign w:val="center"/>
          </w:tcPr>
          <w:p w14:paraId="79BE759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较差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62F5E4A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50</w:t>
            </w:r>
          </w:p>
        </w:tc>
      </w:tr>
      <w:tr w14:paraId="71AB0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24A6BAB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restart"/>
            <w:vAlign w:val="center"/>
          </w:tcPr>
          <w:p w14:paraId="08505E81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开放共享信息提交情况（15%）</w:t>
            </w:r>
          </w:p>
          <w:p w14:paraId="7BA71A35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（考核材料提交的完整性与准确性，包括学校大型仪器设备开放共享管理平台机时数据、机组使用效益评价汇总表及单位自评报告）</w:t>
            </w:r>
          </w:p>
        </w:tc>
        <w:tc>
          <w:tcPr>
            <w:tcW w:w="2687" w:type="dxa"/>
            <w:vAlign w:val="center"/>
          </w:tcPr>
          <w:p w14:paraId="2BD9C4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≥90%</w:t>
            </w:r>
          </w:p>
        </w:tc>
        <w:tc>
          <w:tcPr>
            <w:tcW w:w="2792" w:type="dxa"/>
            <w:vAlign w:val="center"/>
          </w:tcPr>
          <w:p w14:paraId="52324B7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得分=提交比例×100</w:t>
            </w:r>
          </w:p>
        </w:tc>
      </w:tr>
      <w:tr w14:paraId="439DD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29E48252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1D591E9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23A4BCA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50%-90%（不含）</w:t>
            </w:r>
          </w:p>
        </w:tc>
        <w:tc>
          <w:tcPr>
            <w:tcW w:w="2792" w:type="dxa"/>
            <w:vAlign w:val="center"/>
          </w:tcPr>
          <w:p w14:paraId="6DD9727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得分=（提交比例*0.8）×100</w:t>
            </w:r>
          </w:p>
        </w:tc>
      </w:tr>
      <w:tr w14:paraId="7824A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727D1FF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1AB9D714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76D0CE8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&lt;50%</w:t>
            </w:r>
          </w:p>
        </w:tc>
        <w:tc>
          <w:tcPr>
            <w:tcW w:w="2792" w:type="dxa"/>
            <w:vAlign w:val="center"/>
          </w:tcPr>
          <w:p w14:paraId="4FD845F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得分=（提交比例*0.5）×100</w:t>
            </w:r>
          </w:p>
        </w:tc>
      </w:tr>
      <w:tr w14:paraId="60CB9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restart"/>
            <w:vAlign w:val="center"/>
          </w:tcPr>
          <w:p w14:paraId="539696BA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使用效益</w:t>
            </w:r>
          </w:p>
          <w:p w14:paraId="3D8E9FD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（80%）</w:t>
            </w:r>
          </w:p>
        </w:tc>
        <w:tc>
          <w:tcPr>
            <w:tcW w:w="7250" w:type="dxa"/>
            <w:vMerge w:val="restart"/>
            <w:vAlign w:val="center"/>
          </w:tcPr>
          <w:p w14:paraId="05544CEB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  <w:szCs w:val="24"/>
              </w:rPr>
              <w:t>0 万元以上大型仪器设备年有效运行机时（20%）</w:t>
            </w:r>
          </w:p>
          <w:p w14:paraId="21B43DDA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（建账不足一年设备按月份比例计算）</w:t>
            </w:r>
          </w:p>
        </w:tc>
        <w:tc>
          <w:tcPr>
            <w:tcW w:w="2687" w:type="dxa"/>
            <w:vAlign w:val="center"/>
          </w:tcPr>
          <w:p w14:paraId="493B2BA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≥1400 小时</w:t>
            </w:r>
          </w:p>
        </w:tc>
        <w:tc>
          <w:tcPr>
            <w:tcW w:w="2792" w:type="dxa"/>
            <w:vAlign w:val="center"/>
          </w:tcPr>
          <w:p w14:paraId="3CB427A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100</w:t>
            </w:r>
          </w:p>
        </w:tc>
      </w:tr>
      <w:tr w14:paraId="3FC55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838" w:type="dxa"/>
            <w:vMerge w:val="continue"/>
            <w:vAlign w:val="center"/>
          </w:tcPr>
          <w:p w14:paraId="35DEEBC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4E15F34D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76E009F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&lt;1400（不含）小时</w:t>
            </w:r>
          </w:p>
        </w:tc>
        <w:tc>
          <w:tcPr>
            <w:tcW w:w="2792" w:type="dxa"/>
            <w:vAlign w:val="center"/>
          </w:tcPr>
          <w:p w14:paraId="4B7E1A6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得分= （年有效机时/1400）×100</w:t>
            </w:r>
          </w:p>
        </w:tc>
      </w:tr>
      <w:tr w14:paraId="03493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6EF01AF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restart"/>
            <w:vAlign w:val="center"/>
          </w:tcPr>
          <w:p w14:paraId="7AD715D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</w:t>
            </w:r>
            <w:bookmarkStart w:id="0" w:name="_GoBack"/>
            <w:bookmarkEnd w:id="0"/>
            <w:r>
              <w:rPr>
                <w:rFonts w:hint="eastAsia" w:ascii="仿宋_GB2312" w:eastAsia="仿宋_GB2312"/>
                <w:sz w:val="24"/>
                <w:szCs w:val="24"/>
              </w:rPr>
              <w:t>0 万元以上大型仪器设备年平均对外服务机时（15%）</w:t>
            </w:r>
          </w:p>
          <w:p w14:paraId="4B20736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（建账不足一年设备按月份比例计算）</w:t>
            </w:r>
          </w:p>
        </w:tc>
        <w:tc>
          <w:tcPr>
            <w:tcW w:w="2687" w:type="dxa"/>
            <w:vAlign w:val="center"/>
          </w:tcPr>
          <w:p w14:paraId="566F39B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≥300 小时</w:t>
            </w:r>
          </w:p>
        </w:tc>
        <w:tc>
          <w:tcPr>
            <w:tcW w:w="2792" w:type="dxa"/>
            <w:vAlign w:val="center"/>
          </w:tcPr>
          <w:p w14:paraId="5D9E05A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100</w:t>
            </w:r>
          </w:p>
        </w:tc>
      </w:tr>
      <w:tr w14:paraId="6E46A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838" w:type="dxa"/>
            <w:vMerge w:val="continue"/>
            <w:vAlign w:val="center"/>
          </w:tcPr>
          <w:p w14:paraId="495BF5D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17FCE81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0FD1812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&lt;300（不含）小时</w:t>
            </w:r>
          </w:p>
        </w:tc>
        <w:tc>
          <w:tcPr>
            <w:tcW w:w="2792" w:type="dxa"/>
            <w:vAlign w:val="center"/>
          </w:tcPr>
          <w:p w14:paraId="2A82BC7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得分= （年平均对外服务机时/300）×100</w:t>
            </w:r>
          </w:p>
        </w:tc>
      </w:tr>
      <w:tr w14:paraId="19037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307862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restart"/>
            <w:vAlign w:val="center"/>
          </w:tcPr>
          <w:p w14:paraId="239C34EB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年总服务收入情况（15%）</w:t>
            </w:r>
          </w:p>
          <w:p w14:paraId="1852095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年总服务收入=年校内开放服务收入+年校外开放服务收入</w:t>
            </w:r>
          </w:p>
        </w:tc>
        <w:tc>
          <w:tcPr>
            <w:tcW w:w="2687" w:type="dxa"/>
            <w:vAlign w:val="center"/>
          </w:tcPr>
          <w:p w14:paraId="7BB526F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≥20万</w:t>
            </w:r>
          </w:p>
        </w:tc>
        <w:tc>
          <w:tcPr>
            <w:tcW w:w="2792" w:type="dxa"/>
            <w:vAlign w:val="center"/>
          </w:tcPr>
          <w:p w14:paraId="2F822CF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100</w:t>
            </w:r>
          </w:p>
        </w:tc>
      </w:tr>
      <w:tr w14:paraId="536A3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838" w:type="dxa"/>
            <w:vMerge w:val="continue"/>
            <w:vAlign w:val="center"/>
          </w:tcPr>
          <w:p w14:paraId="675854D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0A98DBF6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0E4D500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&lt;20（不含）万</w:t>
            </w:r>
          </w:p>
        </w:tc>
        <w:tc>
          <w:tcPr>
            <w:tcW w:w="2792" w:type="dxa"/>
            <w:vAlign w:val="center"/>
          </w:tcPr>
          <w:p w14:paraId="0739304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得分= （年总服务收入/20）×100</w:t>
            </w:r>
          </w:p>
        </w:tc>
      </w:tr>
      <w:tr w14:paraId="32E7E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5032BE9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restart"/>
            <w:vAlign w:val="center"/>
          </w:tcPr>
          <w:p w14:paraId="4BA0504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人才培养支撑情况（10%）</w:t>
            </w:r>
          </w:p>
        </w:tc>
        <w:tc>
          <w:tcPr>
            <w:tcW w:w="2687" w:type="dxa"/>
            <w:vAlign w:val="center"/>
          </w:tcPr>
          <w:p w14:paraId="375FCC4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有独立操作权的人员数</w:t>
            </w:r>
          </w:p>
        </w:tc>
        <w:tc>
          <w:tcPr>
            <w:tcW w:w="2792" w:type="dxa"/>
            <w:vAlign w:val="center"/>
          </w:tcPr>
          <w:p w14:paraId="12FCDB7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10分/人</w:t>
            </w:r>
          </w:p>
        </w:tc>
      </w:tr>
      <w:tr w14:paraId="14407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838" w:type="dxa"/>
            <w:vMerge w:val="continue"/>
            <w:vAlign w:val="center"/>
          </w:tcPr>
          <w:p w14:paraId="4A56BA4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54ED244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33FB14B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在指导下能独立完成部分测试的人员数</w:t>
            </w:r>
          </w:p>
        </w:tc>
        <w:tc>
          <w:tcPr>
            <w:tcW w:w="2792" w:type="dxa"/>
            <w:vAlign w:val="center"/>
          </w:tcPr>
          <w:p w14:paraId="257D18D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3分/人</w:t>
            </w:r>
          </w:p>
        </w:tc>
      </w:tr>
      <w:tr w14:paraId="0610A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1838" w:type="dxa"/>
            <w:vMerge w:val="continue"/>
            <w:vAlign w:val="center"/>
          </w:tcPr>
          <w:p w14:paraId="78CE454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63C863A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1FAAE0B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教学演示实验和参观人员数</w:t>
            </w:r>
          </w:p>
        </w:tc>
        <w:tc>
          <w:tcPr>
            <w:tcW w:w="2792" w:type="dxa"/>
            <w:vAlign w:val="center"/>
          </w:tcPr>
          <w:p w14:paraId="396C27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1分/30人</w:t>
            </w:r>
          </w:p>
        </w:tc>
      </w:tr>
      <w:tr w14:paraId="6FAEA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1AEDCF5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restart"/>
            <w:vAlign w:val="center"/>
          </w:tcPr>
          <w:p w14:paraId="06B9234C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科研成果支撑情况（20%）</w:t>
            </w:r>
          </w:p>
        </w:tc>
        <w:tc>
          <w:tcPr>
            <w:tcW w:w="2687" w:type="dxa"/>
            <w:vAlign w:val="center"/>
          </w:tcPr>
          <w:p w14:paraId="7727BB3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国际、国家级奖项</w:t>
            </w:r>
          </w:p>
        </w:tc>
        <w:tc>
          <w:tcPr>
            <w:tcW w:w="2792" w:type="dxa"/>
            <w:vAlign w:val="center"/>
          </w:tcPr>
          <w:p w14:paraId="4874D41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80分/项</w:t>
            </w:r>
          </w:p>
        </w:tc>
      </w:tr>
      <w:tr w14:paraId="07A63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567C104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3158DB7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70A335F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省、部级奖项</w:t>
            </w:r>
          </w:p>
        </w:tc>
        <w:tc>
          <w:tcPr>
            <w:tcW w:w="2792" w:type="dxa"/>
            <w:vAlign w:val="center"/>
          </w:tcPr>
          <w:p w14:paraId="1CAB9BB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60分/项</w:t>
            </w:r>
          </w:p>
        </w:tc>
      </w:tr>
      <w:tr w14:paraId="4FE7A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2C00F1D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35BFF004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5771059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校级奖项</w:t>
            </w:r>
          </w:p>
        </w:tc>
        <w:tc>
          <w:tcPr>
            <w:tcW w:w="2792" w:type="dxa"/>
            <w:vAlign w:val="center"/>
          </w:tcPr>
          <w:p w14:paraId="0AB62E9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20分/项</w:t>
            </w:r>
          </w:p>
        </w:tc>
      </w:tr>
      <w:tr w14:paraId="45BED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35AC117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0198B2D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405B4FE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国际、国家级项目</w:t>
            </w:r>
          </w:p>
        </w:tc>
        <w:tc>
          <w:tcPr>
            <w:tcW w:w="2792" w:type="dxa"/>
            <w:vAlign w:val="center"/>
          </w:tcPr>
          <w:p w14:paraId="5C40925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80分/项</w:t>
            </w:r>
          </w:p>
        </w:tc>
      </w:tr>
      <w:tr w14:paraId="51AB9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0995046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037A56B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5002533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省、部级项目</w:t>
            </w:r>
          </w:p>
        </w:tc>
        <w:tc>
          <w:tcPr>
            <w:tcW w:w="2792" w:type="dxa"/>
            <w:vAlign w:val="center"/>
          </w:tcPr>
          <w:p w14:paraId="58107F6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60分/项</w:t>
            </w:r>
          </w:p>
        </w:tc>
      </w:tr>
      <w:tr w14:paraId="6B910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79712AB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1F9F8DBA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6D14CE7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横向及其他项目</w:t>
            </w:r>
          </w:p>
        </w:tc>
        <w:tc>
          <w:tcPr>
            <w:tcW w:w="2792" w:type="dxa"/>
            <w:vAlign w:val="center"/>
          </w:tcPr>
          <w:p w14:paraId="77D5795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40分/项</w:t>
            </w:r>
          </w:p>
        </w:tc>
      </w:tr>
      <w:tr w14:paraId="01CC2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559A2C9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091C71D9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5A4E1DC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发明专利</w:t>
            </w:r>
          </w:p>
        </w:tc>
        <w:tc>
          <w:tcPr>
            <w:tcW w:w="2792" w:type="dxa"/>
            <w:vAlign w:val="center"/>
          </w:tcPr>
          <w:p w14:paraId="54BF48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5分/项</w:t>
            </w:r>
          </w:p>
        </w:tc>
      </w:tr>
      <w:tr w14:paraId="229C7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3A5E999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378E4771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76E9067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标准（国际/国家）</w:t>
            </w:r>
          </w:p>
        </w:tc>
        <w:tc>
          <w:tcPr>
            <w:tcW w:w="2792" w:type="dxa"/>
            <w:vAlign w:val="center"/>
          </w:tcPr>
          <w:p w14:paraId="64BA59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8分/项</w:t>
            </w:r>
          </w:p>
        </w:tc>
      </w:tr>
      <w:tr w14:paraId="7AA16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6EF36DF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02B73ACF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2242D87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标准（行业/地方/企业）</w:t>
            </w:r>
          </w:p>
        </w:tc>
        <w:tc>
          <w:tcPr>
            <w:tcW w:w="2792" w:type="dxa"/>
            <w:vAlign w:val="center"/>
          </w:tcPr>
          <w:p w14:paraId="0DBA90D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6分/项</w:t>
            </w:r>
          </w:p>
        </w:tc>
      </w:tr>
      <w:tr w14:paraId="50BCD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7C3FD84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05ABBD33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38D701A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标准（学校/团体）</w:t>
            </w:r>
          </w:p>
        </w:tc>
        <w:tc>
          <w:tcPr>
            <w:tcW w:w="2792" w:type="dxa"/>
            <w:vAlign w:val="center"/>
          </w:tcPr>
          <w:p w14:paraId="3DFBBB1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4分/项</w:t>
            </w:r>
          </w:p>
        </w:tc>
      </w:tr>
      <w:tr w14:paraId="43EED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65B373E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255B04A7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6BF849B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论文（核心）</w:t>
            </w:r>
          </w:p>
        </w:tc>
        <w:tc>
          <w:tcPr>
            <w:tcW w:w="2792" w:type="dxa"/>
            <w:vAlign w:val="center"/>
          </w:tcPr>
          <w:p w14:paraId="0EFC0AD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10分/篇</w:t>
            </w:r>
          </w:p>
        </w:tc>
      </w:tr>
      <w:tr w14:paraId="0613D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1B82C66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45EDBE2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3220B1C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论文（一般）</w:t>
            </w:r>
          </w:p>
        </w:tc>
        <w:tc>
          <w:tcPr>
            <w:tcW w:w="2792" w:type="dxa"/>
            <w:vAlign w:val="center"/>
          </w:tcPr>
          <w:p w14:paraId="4032905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5分/篇</w:t>
            </w:r>
          </w:p>
        </w:tc>
      </w:tr>
      <w:tr w14:paraId="6390B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336150B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restart"/>
            <w:vAlign w:val="center"/>
          </w:tcPr>
          <w:p w14:paraId="2FD0C93F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支撑校内国家重大科技创新、教学、科研及学生竞赛主要成效（10%）</w:t>
            </w:r>
          </w:p>
          <w:p w14:paraId="7197F667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（至少一项典型案例，全国重点实验室至少三项典型案例）</w:t>
            </w:r>
          </w:p>
        </w:tc>
        <w:tc>
          <w:tcPr>
            <w:tcW w:w="2687" w:type="dxa"/>
            <w:vAlign w:val="center"/>
          </w:tcPr>
          <w:p w14:paraId="41CE903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≥3项</w:t>
            </w:r>
          </w:p>
        </w:tc>
        <w:tc>
          <w:tcPr>
            <w:tcW w:w="2792" w:type="dxa"/>
            <w:vAlign w:val="center"/>
          </w:tcPr>
          <w:p w14:paraId="1AF6B28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100</w:t>
            </w:r>
          </w:p>
        </w:tc>
      </w:tr>
      <w:tr w14:paraId="74B61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838" w:type="dxa"/>
            <w:vMerge w:val="continue"/>
            <w:vAlign w:val="center"/>
          </w:tcPr>
          <w:p w14:paraId="645708D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54D01FCC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297EF14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&lt;3项</w:t>
            </w:r>
          </w:p>
        </w:tc>
        <w:tc>
          <w:tcPr>
            <w:tcW w:w="2792" w:type="dxa"/>
            <w:vAlign w:val="center"/>
          </w:tcPr>
          <w:p w14:paraId="74A1673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得分= （成效数目/3）×60</w:t>
            </w:r>
          </w:p>
        </w:tc>
      </w:tr>
      <w:tr w14:paraId="7A6AC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38" w:type="dxa"/>
            <w:vMerge w:val="continue"/>
            <w:vAlign w:val="center"/>
          </w:tcPr>
          <w:p w14:paraId="724672F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restart"/>
            <w:vAlign w:val="center"/>
          </w:tcPr>
          <w:p w14:paraId="2BA39E7A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支撑服务校外单位科研任务情况以及相关研究成果的产出、水平与贡献，服务国家重大科技创新、助力港澳科技创新、支撑军民融合工作的服务情况（10%）</w:t>
            </w:r>
          </w:p>
          <w:p w14:paraId="7DF5C90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（至少一项典型案例，全国重点实验室至少三项典型案例）</w:t>
            </w:r>
          </w:p>
        </w:tc>
        <w:tc>
          <w:tcPr>
            <w:tcW w:w="2687" w:type="dxa"/>
            <w:vAlign w:val="center"/>
          </w:tcPr>
          <w:p w14:paraId="559A104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≥3项</w:t>
            </w:r>
          </w:p>
        </w:tc>
        <w:tc>
          <w:tcPr>
            <w:tcW w:w="2792" w:type="dxa"/>
            <w:vAlign w:val="center"/>
          </w:tcPr>
          <w:p w14:paraId="058314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40</w:t>
            </w:r>
          </w:p>
        </w:tc>
      </w:tr>
      <w:tr w14:paraId="5652F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838" w:type="dxa"/>
            <w:vMerge w:val="continue"/>
            <w:vAlign w:val="center"/>
          </w:tcPr>
          <w:p w14:paraId="0415B8B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250" w:type="dxa"/>
            <w:vMerge w:val="continue"/>
            <w:vAlign w:val="center"/>
          </w:tcPr>
          <w:p w14:paraId="765FBF93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5CF8A6F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&lt;3项</w:t>
            </w:r>
          </w:p>
        </w:tc>
        <w:tc>
          <w:tcPr>
            <w:tcW w:w="2792" w:type="dxa"/>
            <w:vAlign w:val="center"/>
          </w:tcPr>
          <w:p w14:paraId="4B7EE85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得分= （成效数目/3）×60</w:t>
            </w:r>
          </w:p>
        </w:tc>
      </w:tr>
    </w:tbl>
    <w:p w14:paraId="3E8BA24F">
      <w:pPr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851" w:right="1103" w:bottom="9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1CA190-3F0D-4B59-80BE-72BDB13EEF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38E19C97-3AF2-4992-9D78-9C6C1D71C3CC}"/>
  </w:font>
  <w:font w:name="等线 Light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1F920A2-D28C-4794-9EB5-E7FB0294DA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E1OGUwOWY2ZjAxMmQzNjM2NTQ3NjQ0YjYxMzI2YmQifQ=="/>
  </w:docVars>
  <w:rsids>
    <w:rsidRoot w:val="002802CA"/>
    <w:rsid w:val="00021526"/>
    <w:rsid w:val="0006113A"/>
    <w:rsid w:val="00072E49"/>
    <w:rsid w:val="000B0338"/>
    <w:rsid w:val="0010374C"/>
    <w:rsid w:val="001047EE"/>
    <w:rsid w:val="00152E3D"/>
    <w:rsid w:val="001B019D"/>
    <w:rsid w:val="001C617F"/>
    <w:rsid w:val="001F79CF"/>
    <w:rsid w:val="002253DD"/>
    <w:rsid w:val="00246FE8"/>
    <w:rsid w:val="002802CA"/>
    <w:rsid w:val="002900BC"/>
    <w:rsid w:val="00325E3C"/>
    <w:rsid w:val="00366671"/>
    <w:rsid w:val="003E6717"/>
    <w:rsid w:val="00452DA6"/>
    <w:rsid w:val="00476E02"/>
    <w:rsid w:val="004931BE"/>
    <w:rsid w:val="00497B10"/>
    <w:rsid w:val="004B6627"/>
    <w:rsid w:val="004E6E40"/>
    <w:rsid w:val="00505448"/>
    <w:rsid w:val="00521BBA"/>
    <w:rsid w:val="006261DF"/>
    <w:rsid w:val="006B6F41"/>
    <w:rsid w:val="006E62FD"/>
    <w:rsid w:val="006F0705"/>
    <w:rsid w:val="006F55B1"/>
    <w:rsid w:val="00725F9C"/>
    <w:rsid w:val="00774F06"/>
    <w:rsid w:val="0081390C"/>
    <w:rsid w:val="00830684"/>
    <w:rsid w:val="0096346F"/>
    <w:rsid w:val="009E77E6"/>
    <w:rsid w:val="00A462B4"/>
    <w:rsid w:val="00AB5077"/>
    <w:rsid w:val="00B75791"/>
    <w:rsid w:val="00B86198"/>
    <w:rsid w:val="00BD6EF9"/>
    <w:rsid w:val="00BE12AF"/>
    <w:rsid w:val="00BF5E48"/>
    <w:rsid w:val="00C01198"/>
    <w:rsid w:val="00C1258A"/>
    <w:rsid w:val="00C378CF"/>
    <w:rsid w:val="00C566CE"/>
    <w:rsid w:val="00CB5D97"/>
    <w:rsid w:val="00CE55EF"/>
    <w:rsid w:val="00D84DE9"/>
    <w:rsid w:val="00D90D36"/>
    <w:rsid w:val="00DA2BBC"/>
    <w:rsid w:val="00E03EA0"/>
    <w:rsid w:val="00E32962"/>
    <w:rsid w:val="00E561EB"/>
    <w:rsid w:val="00E956F6"/>
    <w:rsid w:val="00EE76C3"/>
    <w:rsid w:val="00F42F0B"/>
    <w:rsid w:val="00FF7AFF"/>
    <w:rsid w:val="013369C0"/>
    <w:rsid w:val="06A31ECD"/>
    <w:rsid w:val="07C21FBC"/>
    <w:rsid w:val="08034185"/>
    <w:rsid w:val="0CAF2875"/>
    <w:rsid w:val="0D2C6E4B"/>
    <w:rsid w:val="14D342B9"/>
    <w:rsid w:val="155D0C4D"/>
    <w:rsid w:val="1BC018FA"/>
    <w:rsid w:val="1DAC3803"/>
    <w:rsid w:val="1F76031F"/>
    <w:rsid w:val="1FAC368B"/>
    <w:rsid w:val="21F726B1"/>
    <w:rsid w:val="22201DE5"/>
    <w:rsid w:val="27267DD2"/>
    <w:rsid w:val="285A12A4"/>
    <w:rsid w:val="340E547F"/>
    <w:rsid w:val="44973170"/>
    <w:rsid w:val="46C70C6D"/>
    <w:rsid w:val="480B5B27"/>
    <w:rsid w:val="48496650"/>
    <w:rsid w:val="49991763"/>
    <w:rsid w:val="4B350E6F"/>
    <w:rsid w:val="4B511D6A"/>
    <w:rsid w:val="4EFD095D"/>
    <w:rsid w:val="4FB34975"/>
    <w:rsid w:val="513C6EF2"/>
    <w:rsid w:val="521B34F0"/>
    <w:rsid w:val="52294FBE"/>
    <w:rsid w:val="524A2661"/>
    <w:rsid w:val="53924A42"/>
    <w:rsid w:val="53DA6058"/>
    <w:rsid w:val="550545BE"/>
    <w:rsid w:val="5BCA1CC1"/>
    <w:rsid w:val="5D4D29A0"/>
    <w:rsid w:val="60037916"/>
    <w:rsid w:val="67201FD9"/>
    <w:rsid w:val="67AC4971"/>
    <w:rsid w:val="68C61A62"/>
    <w:rsid w:val="69363130"/>
    <w:rsid w:val="6BED4459"/>
    <w:rsid w:val="70BF69B9"/>
    <w:rsid w:val="72E34E14"/>
    <w:rsid w:val="742C1A7D"/>
    <w:rsid w:val="75F63223"/>
    <w:rsid w:val="76515048"/>
    <w:rsid w:val="79BD2116"/>
    <w:rsid w:val="7AFD29F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uiPriority w:val="9"/>
    <w:rPr>
      <w:b/>
      <w:bCs/>
      <w:kern w:val="44"/>
      <w:sz w:val="44"/>
      <w:szCs w:val="44"/>
    </w:rPr>
  </w:style>
  <w:style w:type="character" w:customStyle="1" w:styleId="12">
    <w:name w:val="标题 2 Char"/>
    <w:basedOn w:val="8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875</Words>
  <Characters>1013</Characters>
  <Lines>8</Lines>
  <Paragraphs>2</Paragraphs>
  <TotalTime>8</TotalTime>
  <ScaleCrop>false</ScaleCrop>
  <LinksUpToDate>false</LinksUpToDate>
  <CharactersWithSpaces>1022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2021-12-23T08:05:00Z</dcterms:created>
  <dc:creator>User</dc:creator>
  <cp:lastModifiedBy>咪了个喵</cp:lastModifiedBy>
  <cp:lastPrinted>2024-05-15T01:59:00Z</cp:lastPrinted>
  <dcterms:modified xsi:type="dcterms:W3CDTF">2026-09-07T01:39:39Z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A5F8C5ADA0E84AC3B560954A4F487F2C_13</vt:lpwstr>
  </property>
  <property fmtid="{D5CDD505-2E9C-101B-9397-08002B2CF9AE}" pid="4" name="KSOTemplateDocerSaveRecord">
    <vt:lpwstr>eyJoZGlkIjoiYjZiYzJkNmFjMjAzODY3NDRjNTZiZmE2NDA5ZDg2ODAiLCJ1c2VySWQiOiIzNjIzMzE4NTcifQ==</vt:lpwstr>
  </property>
</Properties>
</file>